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78472" w14:textId="261E25F9" w:rsidR="009F0206" w:rsidRPr="009F0206" w:rsidRDefault="009F0206" w:rsidP="009F0206">
      <w:pPr>
        <w:rPr>
          <w:rFonts w:ascii="Georgia" w:hAnsi="Georgia"/>
          <w:sz w:val="24"/>
          <w:szCs w:val="24"/>
        </w:rPr>
      </w:pPr>
      <w:r w:rsidRPr="009F0206">
        <w:rPr>
          <w:rFonts w:ascii="Georgia" w:hAnsi="Georgia"/>
          <w:sz w:val="24"/>
          <w:szCs w:val="24"/>
        </w:rPr>
        <w:t>Press Release 2/1/2021</w:t>
      </w:r>
      <w:bookmarkStart w:id="0" w:name="_GoBack"/>
      <w:bookmarkEnd w:id="0"/>
    </w:p>
    <w:p w14:paraId="1EF0E760" w14:textId="77777777" w:rsidR="009F0206" w:rsidRDefault="009F0206" w:rsidP="009F0206">
      <w:pPr>
        <w:pStyle w:val="PlainText"/>
        <w:rPr>
          <w:rFonts w:ascii="Georgia" w:hAnsi="Georgia"/>
          <w:sz w:val="24"/>
          <w:szCs w:val="24"/>
        </w:rPr>
      </w:pPr>
      <w:r>
        <w:rPr>
          <w:rFonts w:ascii="Georgia" w:eastAsia="Times New Roman" w:hAnsi="Georgia"/>
          <w:sz w:val="24"/>
          <w:szCs w:val="24"/>
        </w:rPr>
        <w:t xml:space="preserve">The Florida Department of Health in Okeechobee County will be offering Moderna COVID-19 Vaccines at 8:30am on THURSDAY, FEBRUARY 5, 2021 at the OKEECHOBEE AGRI-CIVIC CENTER (4601 Fl Hwy 710 East) for eligible recipients according to state guidelines (over 65 years old or direct health care workers) until all vaccines are distributed. </w:t>
      </w:r>
      <w:r>
        <w:rPr>
          <w:rFonts w:ascii="Georgia" w:hAnsi="Georgia"/>
          <w:sz w:val="24"/>
          <w:szCs w:val="24"/>
        </w:rPr>
        <w:t>Our number one goal in Florida is to stop the spread of COVID-19 which is a global pandemic. We are using every resource available to us to get the vaccine out as soon as we receive it according to the directives of Governor Ron DeSantis.</w:t>
      </w:r>
    </w:p>
    <w:p w14:paraId="1AE91F2D" w14:textId="77777777" w:rsidR="009F0206" w:rsidRDefault="009F0206" w:rsidP="009F0206">
      <w:pPr>
        <w:numPr>
          <w:ilvl w:val="0"/>
          <w:numId w:val="1"/>
        </w:numPr>
        <w:shd w:val="clear" w:color="auto" w:fill="E07802"/>
        <w:spacing w:before="100" w:beforeAutospacing="1" w:after="100" w:afterAutospacing="1"/>
        <w:ind w:left="0"/>
        <w:rPr>
          <w:rFonts w:ascii="Times New Roman" w:eastAsia="Times New Roman" w:hAnsi="Times New Roman" w:cs="Times New Roman"/>
          <w:color w:val="FFFFFF"/>
          <w:sz w:val="27"/>
          <w:szCs w:val="27"/>
        </w:rPr>
      </w:pPr>
      <w:r>
        <w:rPr>
          <w:rFonts w:ascii="Georgia" w:hAnsi="Georgia"/>
          <w:color w:val="FFFFFF" w:themeColor="background1"/>
          <w:sz w:val="24"/>
          <w:szCs w:val="24"/>
        </w:rPr>
        <w:t>Governor Ron DeSantis’ Executive Order 20-315 outlines that providers can only administer the COVID-19 vaccine to the following groups;</w:t>
      </w:r>
    </w:p>
    <w:p w14:paraId="7C5DB7E4" w14:textId="77777777" w:rsidR="009F0206" w:rsidRDefault="009F0206" w:rsidP="009F0206">
      <w:pPr>
        <w:numPr>
          <w:ilvl w:val="0"/>
          <w:numId w:val="1"/>
        </w:numPr>
        <w:shd w:val="clear" w:color="auto" w:fill="E07802"/>
        <w:spacing w:before="100" w:beforeAutospacing="1" w:after="100" w:afterAutospacing="1"/>
        <w:ind w:left="0"/>
        <w:rPr>
          <w:rFonts w:ascii="Times New Roman" w:eastAsia="Times New Roman" w:hAnsi="Times New Roman" w:cs="Times New Roman"/>
          <w:color w:val="FFFFFF"/>
          <w:sz w:val="27"/>
          <w:szCs w:val="27"/>
        </w:rPr>
      </w:pPr>
      <w:r>
        <w:rPr>
          <w:rFonts w:ascii="Times New Roman" w:eastAsia="Times New Roman" w:hAnsi="Times New Roman" w:cs="Times New Roman"/>
          <w:color w:val="FFFFFF"/>
          <w:sz w:val="27"/>
          <w:szCs w:val="27"/>
        </w:rPr>
        <w:t>Long-term care facility residents and staff.</w:t>
      </w:r>
    </w:p>
    <w:p w14:paraId="3264AF06" w14:textId="77777777" w:rsidR="009F0206" w:rsidRDefault="009F0206" w:rsidP="009F0206">
      <w:pPr>
        <w:numPr>
          <w:ilvl w:val="0"/>
          <w:numId w:val="1"/>
        </w:numPr>
        <w:shd w:val="clear" w:color="auto" w:fill="E07802"/>
        <w:spacing w:before="100" w:beforeAutospacing="1" w:after="100" w:afterAutospacing="1"/>
        <w:ind w:left="0"/>
        <w:rPr>
          <w:rFonts w:ascii="Times New Roman" w:eastAsia="Times New Roman" w:hAnsi="Times New Roman" w:cs="Times New Roman"/>
          <w:color w:val="FFFFFF"/>
          <w:sz w:val="27"/>
          <w:szCs w:val="27"/>
        </w:rPr>
      </w:pPr>
      <w:r>
        <w:rPr>
          <w:rFonts w:ascii="Times New Roman" w:eastAsia="Times New Roman" w:hAnsi="Times New Roman" w:cs="Times New Roman"/>
          <w:color w:val="FFFFFF"/>
          <w:sz w:val="27"/>
          <w:szCs w:val="27"/>
        </w:rPr>
        <w:t>Persons 65 years of age and older.</w:t>
      </w:r>
    </w:p>
    <w:p w14:paraId="5B9B4322" w14:textId="77777777" w:rsidR="009F0206" w:rsidRDefault="009F0206" w:rsidP="009F0206">
      <w:pPr>
        <w:numPr>
          <w:ilvl w:val="0"/>
          <w:numId w:val="1"/>
        </w:numPr>
        <w:shd w:val="clear" w:color="auto" w:fill="E07802"/>
        <w:spacing w:before="100" w:beforeAutospacing="1" w:after="100" w:afterAutospacing="1"/>
        <w:ind w:left="0"/>
        <w:rPr>
          <w:rFonts w:ascii="Times New Roman" w:eastAsia="Times New Roman" w:hAnsi="Times New Roman" w:cs="Times New Roman"/>
          <w:color w:val="FFFFFF"/>
          <w:sz w:val="27"/>
          <w:szCs w:val="27"/>
        </w:rPr>
      </w:pPr>
      <w:r>
        <w:rPr>
          <w:rFonts w:ascii="Times New Roman" w:eastAsia="Times New Roman" w:hAnsi="Times New Roman" w:cs="Times New Roman"/>
          <w:color w:val="FFFFFF"/>
          <w:sz w:val="27"/>
          <w:szCs w:val="27"/>
        </w:rPr>
        <w:t>Health care personnel with direct patient contact.</w:t>
      </w:r>
    </w:p>
    <w:p w14:paraId="6E6B53E7" w14:textId="77777777" w:rsidR="009F0206" w:rsidRDefault="009F0206" w:rsidP="009F0206">
      <w:pPr>
        <w:numPr>
          <w:ilvl w:val="0"/>
          <w:numId w:val="1"/>
        </w:numPr>
        <w:shd w:val="clear" w:color="auto" w:fill="E07802"/>
        <w:spacing w:before="100" w:beforeAutospacing="1" w:after="100" w:afterAutospacing="1"/>
        <w:ind w:left="0"/>
        <w:rPr>
          <w:rFonts w:ascii="Times New Roman" w:eastAsia="Times New Roman" w:hAnsi="Times New Roman" w:cs="Times New Roman"/>
          <w:color w:val="FFFFFF"/>
          <w:sz w:val="27"/>
          <w:szCs w:val="27"/>
        </w:rPr>
      </w:pPr>
      <w:r>
        <w:rPr>
          <w:rFonts w:ascii="Times New Roman" w:eastAsia="Times New Roman" w:hAnsi="Times New Roman" w:cs="Times New Roman"/>
          <w:color w:val="FFFFFF"/>
          <w:sz w:val="27"/>
          <w:szCs w:val="27"/>
        </w:rPr>
        <w:t>Persons deemed to be extremely vulnerable to COVID-19 by hospital providers.</w:t>
      </w:r>
    </w:p>
    <w:p w14:paraId="267EBBFB" w14:textId="77777777" w:rsidR="009F0206" w:rsidRDefault="009F0206" w:rsidP="009F0206">
      <w:pPr>
        <w:rPr>
          <w:rFonts w:ascii="Georgia" w:eastAsia="Times New Roman" w:hAnsi="Georgia"/>
          <w:sz w:val="24"/>
          <w:szCs w:val="24"/>
        </w:rPr>
      </w:pPr>
      <w:r>
        <w:rPr>
          <w:rFonts w:ascii="Georgia" w:eastAsia="Times New Roman" w:hAnsi="Georgia"/>
          <w:sz w:val="24"/>
          <w:szCs w:val="24"/>
        </w:rPr>
        <w:t xml:space="preserve"> NO APPOINTMENTS WILL BE NEEDED.  500 doses of Moderna COVID-19 Vaccine have been provided to Okeechobee County for this distribution on a first come first served basis. Proof of age and residency is required. </w:t>
      </w:r>
    </w:p>
    <w:p w14:paraId="66FE57C9" w14:textId="77777777" w:rsidR="009F0206" w:rsidRDefault="009F0206" w:rsidP="009F0206">
      <w:pPr>
        <w:spacing w:before="100" w:beforeAutospacing="1" w:after="105"/>
        <w:rPr>
          <w:rFonts w:ascii="Segoe UI" w:eastAsia="Times New Roman" w:hAnsi="Segoe UI" w:cs="Segoe UI"/>
          <w:sz w:val="21"/>
          <w:szCs w:val="21"/>
        </w:rPr>
      </w:pPr>
      <w:r>
        <w:rPr>
          <w:rFonts w:ascii="Arial" w:eastAsia="Times New Roman" w:hAnsi="Arial" w:cs="Arial"/>
          <w:sz w:val="24"/>
          <w:szCs w:val="24"/>
        </w:rPr>
        <w:t xml:space="preserve">State Surgeon General Scott Rivkees issued a </w:t>
      </w:r>
      <w:hyperlink r:id="rId5" w:tgtFrame="_blank" w:tooltip="https://floridahealthcovid19.gov/wp-content/uploads/2021/01/prioritization-of-floridans-for-covid-19-vaccinations.pdf" w:history="1">
        <w:r>
          <w:rPr>
            <w:rStyle w:val="Hyperlink"/>
            <w:rFonts w:ascii="Arial" w:eastAsia="Times New Roman" w:hAnsi="Arial" w:cs="Arial"/>
            <w:color w:val="6888C9"/>
            <w:sz w:val="24"/>
            <w:szCs w:val="24"/>
          </w:rPr>
          <w:t>Public Health Advisory</w:t>
        </w:r>
      </w:hyperlink>
      <w:r>
        <w:rPr>
          <w:rFonts w:ascii="Arial" w:eastAsia="Times New Roman" w:hAnsi="Arial" w:cs="Arial"/>
          <w:sz w:val="24"/>
          <w:szCs w:val="24"/>
        </w:rPr>
        <w:t xml:space="preserve"> on January 21 prioritizing vaccines for residents of the State of Florida or individuals in Florida for the purpose of providing health care services involving direct contact with patients. To prove residency an adult resident must provide a copy of his or her valid Florida driver license or a copy of a valid Florida identification card. </w:t>
      </w:r>
      <w:r>
        <w:rPr>
          <w:rFonts w:ascii="Arial" w:eastAsia="Times New Roman" w:hAnsi="Arial" w:cs="Arial"/>
          <w:sz w:val="24"/>
          <w:szCs w:val="24"/>
        </w:rPr>
        <w:br/>
        <w:t>Seasonal residents may provide a copy of two of the following to show proof of residential address:</w:t>
      </w:r>
    </w:p>
    <w:p w14:paraId="467A9E6C" w14:textId="77777777" w:rsidR="009F0206" w:rsidRDefault="009F0206" w:rsidP="009F0206">
      <w:pPr>
        <w:numPr>
          <w:ilvl w:val="0"/>
          <w:numId w:val="2"/>
        </w:numPr>
        <w:spacing w:before="100" w:beforeAutospacing="1" w:after="105"/>
        <w:rPr>
          <w:rFonts w:ascii="Segoe UI" w:eastAsia="Times New Roman" w:hAnsi="Segoe UI" w:cs="Segoe UI"/>
          <w:sz w:val="21"/>
          <w:szCs w:val="21"/>
        </w:rPr>
      </w:pPr>
      <w:r>
        <w:rPr>
          <w:rFonts w:ascii="Arial" w:eastAsia="Times New Roman" w:hAnsi="Arial" w:cs="Arial"/>
          <w:sz w:val="24"/>
          <w:szCs w:val="24"/>
        </w:rPr>
        <w:t>A deed, mortgage, monthly mortgage statement, mortgage payment booklet or residential rental or lease agreement.</w:t>
      </w:r>
      <w:r>
        <w:rPr>
          <w:rFonts w:ascii="Segoe UI" w:eastAsia="Times New Roman" w:hAnsi="Segoe UI" w:cs="Segoe UI"/>
          <w:sz w:val="21"/>
          <w:szCs w:val="21"/>
        </w:rPr>
        <w:t xml:space="preserve"> </w:t>
      </w:r>
    </w:p>
    <w:p w14:paraId="691C7E5B" w14:textId="77777777" w:rsidR="009F0206" w:rsidRDefault="009F0206" w:rsidP="009F0206">
      <w:pPr>
        <w:numPr>
          <w:ilvl w:val="0"/>
          <w:numId w:val="2"/>
        </w:numPr>
        <w:spacing w:before="100" w:beforeAutospacing="1" w:after="105"/>
        <w:rPr>
          <w:rFonts w:ascii="Segoe UI" w:eastAsia="Times New Roman" w:hAnsi="Segoe UI" w:cs="Segoe UI"/>
          <w:sz w:val="21"/>
          <w:szCs w:val="21"/>
        </w:rPr>
      </w:pPr>
      <w:r>
        <w:rPr>
          <w:rFonts w:ascii="Arial" w:eastAsia="Times New Roman" w:hAnsi="Arial" w:cs="Arial"/>
          <w:sz w:val="24"/>
          <w:szCs w:val="24"/>
        </w:rPr>
        <w:t>One proof of residential address from the season resident’s parent, step-parent or legal guardian or other person with whom the seasonal resident resides and a statement from the person with whom the seasonal resident resides stating that the seasonal resident does reside with him or her.</w:t>
      </w:r>
      <w:r>
        <w:rPr>
          <w:rFonts w:ascii="Segoe UI" w:eastAsia="Times New Roman" w:hAnsi="Segoe UI" w:cs="Segoe UI"/>
          <w:sz w:val="21"/>
          <w:szCs w:val="21"/>
        </w:rPr>
        <w:t xml:space="preserve"> </w:t>
      </w:r>
    </w:p>
    <w:p w14:paraId="05286332" w14:textId="77777777" w:rsidR="009F0206" w:rsidRDefault="009F0206" w:rsidP="009F0206">
      <w:pPr>
        <w:numPr>
          <w:ilvl w:val="0"/>
          <w:numId w:val="2"/>
        </w:numPr>
        <w:spacing w:before="100" w:beforeAutospacing="1" w:after="105"/>
        <w:rPr>
          <w:rFonts w:ascii="Segoe UI" w:eastAsia="Times New Roman" w:hAnsi="Segoe UI" w:cs="Segoe UI"/>
          <w:sz w:val="21"/>
          <w:szCs w:val="21"/>
        </w:rPr>
      </w:pPr>
      <w:r>
        <w:rPr>
          <w:rFonts w:ascii="Arial" w:eastAsia="Times New Roman" w:hAnsi="Arial" w:cs="Arial"/>
          <w:sz w:val="24"/>
          <w:szCs w:val="24"/>
        </w:rPr>
        <w:t>A utility hookup or work order dated within 60 days before registration.</w:t>
      </w:r>
      <w:r>
        <w:rPr>
          <w:rFonts w:ascii="Segoe UI" w:eastAsia="Times New Roman" w:hAnsi="Segoe UI" w:cs="Segoe UI"/>
          <w:sz w:val="21"/>
          <w:szCs w:val="21"/>
        </w:rPr>
        <w:t xml:space="preserve"> </w:t>
      </w:r>
    </w:p>
    <w:p w14:paraId="79722B7C" w14:textId="77777777" w:rsidR="009F0206" w:rsidRDefault="009F0206" w:rsidP="009F0206">
      <w:pPr>
        <w:numPr>
          <w:ilvl w:val="0"/>
          <w:numId w:val="2"/>
        </w:numPr>
        <w:spacing w:before="100" w:beforeAutospacing="1" w:after="105"/>
        <w:rPr>
          <w:rFonts w:ascii="Segoe UI" w:eastAsia="Times New Roman" w:hAnsi="Segoe UI" w:cs="Segoe UI"/>
          <w:sz w:val="21"/>
          <w:szCs w:val="21"/>
        </w:rPr>
      </w:pPr>
      <w:r>
        <w:rPr>
          <w:rFonts w:ascii="Arial" w:eastAsia="Times New Roman" w:hAnsi="Arial" w:cs="Arial"/>
          <w:sz w:val="24"/>
          <w:szCs w:val="24"/>
        </w:rPr>
        <w:t>A utility bill, not more than 2 months old.</w:t>
      </w:r>
      <w:r>
        <w:rPr>
          <w:rFonts w:ascii="Segoe UI" w:eastAsia="Times New Roman" w:hAnsi="Segoe UI" w:cs="Segoe UI"/>
          <w:sz w:val="21"/>
          <w:szCs w:val="21"/>
        </w:rPr>
        <w:t xml:space="preserve"> </w:t>
      </w:r>
    </w:p>
    <w:p w14:paraId="2BFB2856" w14:textId="77777777" w:rsidR="009F0206" w:rsidRDefault="009F0206" w:rsidP="009F0206">
      <w:pPr>
        <w:numPr>
          <w:ilvl w:val="0"/>
          <w:numId w:val="2"/>
        </w:numPr>
        <w:spacing w:before="100" w:beforeAutospacing="1" w:after="105"/>
        <w:rPr>
          <w:rFonts w:ascii="Segoe UI" w:eastAsia="Times New Roman" w:hAnsi="Segoe UI" w:cs="Segoe UI"/>
          <w:sz w:val="21"/>
          <w:szCs w:val="21"/>
        </w:rPr>
      </w:pPr>
      <w:r>
        <w:rPr>
          <w:rFonts w:ascii="Arial" w:eastAsia="Times New Roman" w:hAnsi="Arial" w:cs="Arial"/>
          <w:sz w:val="24"/>
          <w:szCs w:val="24"/>
        </w:rPr>
        <w:t>Mail from a financial institution, including checking, savings, or investment account statements, not more than 2 months old.</w:t>
      </w:r>
      <w:r>
        <w:rPr>
          <w:rFonts w:ascii="Segoe UI" w:eastAsia="Times New Roman" w:hAnsi="Segoe UI" w:cs="Segoe UI"/>
          <w:sz w:val="21"/>
          <w:szCs w:val="21"/>
        </w:rPr>
        <w:t xml:space="preserve"> </w:t>
      </w:r>
    </w:p>
    <w:p w14:paraId="5D47417C" w14:textId="77777777" w:rsidR="009F0206" w:rsidRDefault="009F0206" w:rsidP="009F0206">
      <w:pPr>
        <w:numPr>
          <w:ilvl w:val="0"/>
          <w:numId w:val="2"/>
        </w:numPr>
        <w:spacing w:before="100" w:beforeAutospacing="1" w:after="105"/>
        <w:rPr>
          <w:rFonts w:ascii="Segoe UI" w:eastAsia="Times New Roman" w:hAnsi="Segoe UI" w:cs="Segoe UI"/>
          <w:sz w:val="21"/>
          <w:szCs w:val="21"/>
        </w:rPr>
      </w:pPr>
      <w:r>
        <w:rPr>
          <w:rFonts w:ascii="Arial" w:eastAsia="Times New Roman" w:hAnsi="Arial" w:cs="Arial"/>
          <w:sz w:val="24"/>
          <w:szCs w:val="24"/>
        </w:rPr>
        <w:t>Mail from a federal, state, county, or municipal government agency, not more than 2 months old.</w:t>
      </w:r>
      <w:r>
        <w:rPr>
          <w:rFonts w:ascii="Segoe UI" w:eastAsia="Times New Roman" w:hAnsi="Segoe UI" w:cs="Segoe UI"/>
          <w:sz w:val="21"/>
          <w:szCs w:val="21"/>
        </w:rPr>
        <w:t xml:space="preserve"> </w:t>
      </w:r>
    </w:p>
    <w:p w14:paraId="11A80E83" w14:textId="77777777" w:rsidR="009F0206" w:rsidRDefault="009F0206" w:rsidP="009F0206">
      <w:pPr>
        <w:shd w:val="clear" w:color="auto" w:fill="FFFFFF" w:themeFill="background1"/>
        <w:spacing w:before="240" w:after="100" w:afterAutospacing="1"/>
        <w:rPr>
          <w:rFonts w:ascii="Georgia" w:hAnsi="Georgia"/>
          <w:sz w:val="24"/>
          <w:szCs w:val="24"/>
        </w:rPr>
      </w:pPr>
      <w:r>
        <w:rPr>
          <w:rFonts w:ascii="Arial" w:eastAsia="Times New Roman" w:hAnsi="Arial" w:cs="Arial"/>
          <w:sz w:val="24"/>
          <w:szCs w:val="24"/>
          <w:shd w:val="clear" w:color="auto" w:fill="FFFFFF" w:themeFill="background1"/>
        </w:rPr>
        <w:t xml:space="preserve">Seasonal resident means any person who temporarily resides in this state for a period of at least 31 consecutive days in each calendar year, maintains a temporary residence </w:t>
      </w:r>
      <w:r>
        <w:rPr>
          <w:rFonts w:ascii="Arial" w:eastAsia="Times New Roman" w:hAnsi="Arial" w:cs="Arial"/>
          <w:sz w:val="24"/>
          <w:szCs w:val="24"/>
          <w:shd w:val="clear" w:color="auto" w:fill="FFFFFF" w:themeFill="background1"/>
        </w:rPr>
        <w:lastRenderedPageBreak/>
        <w:t>in this state, returns to the state or jurisdiction of his or her residence at least one time during each calendar year, and is registered to vote or pays income tax in another state or jurisdiction.</w:t>
      </w:r>
    </w:p>
    <w:p w14:paraId="7741709B" w14:textId="77777777" w:rsidR="009F0206" w:rsidRDefault="009F0206" w:rsidP="009F0206">
      <w:pPr>
        <w:rPr>
          <w:rFonts w:ascii="Georgia" w:hAnsi="Georgia"/>
          <w:sz w:val="24"/>
          <w:szCs w:val="24"/>
        </w:rPr>
      </w:pPr>
      <w:r>
        <w:rPr>
          <w:rFonts w:ascii="Georgia" w:hAnsi="Georgia"/>
          <w:sz w:val="24"/>
          <w:szCs w:val="24"/>
        </w:rPr>
        <w:t xml:space="preserve">The Department of Health asks anyone planning to arrive for vaccinations to have consent forms printed and completed before coming to the Agri-Civic Center. CONSENT FORMS can be found at online at </w:t>
      </w:r>
      <w:hyperlink r:id="rId6" w:history="1">
        <w:r>
          <w:rPr>
            <w:rStyle w:val="Hyperlink"/>
            <w:rFonts w:ascii="Georgia" w:hAnsi="Georgia"/>
            <w:sz w:val="24"/>
            <w:szCs w:val="24"/>
          </w:rPr>
          <w:t>http://okeechobee.floridahealth.gov/</w:t>
        </w:r>
      </w:hyperlink>
      <w:r>
        <w:rPr>
          <w:rFonts w:ascii="Georgia" w:hAnsi="Georgia"/>
          <w:sz w:val="24"/>
          <w:szCs w:val="24"/>
        </w:rPr>
        <w:t xml:space="preserve"> or at the Okeechobee Public Library.</w:t>
      </w:r>
    </w:p>
    <w:p w14:paraId="2489F348" w14:textId="77777777" w:rsidR="009F0206" w:rsidRDefault="009F0206" w:rsidP="009F0206">
      <w:pPr>
        <w:rPr>
          <w:rFonts w:ascii="Georgia" w:eastAsia="Times New Roman" w:hAnsi="Georgia"/>
          <w:sz w:val="24"/>
          <w:szCs w:val="24"/>
        </w:rPr>
      </w:pPr>
    </w:p>
    <w:p w14:paraId="5B46C621" w14:textId="77777777" w:rsidR="009F0206" w:rsidRDefault="009F0206" w:rsidP="009F0206">
      <w:pPr>
        <w:rPr>
          <w:rFonts w:ascii="Georgia" w:eastAsia="Times New Roman" w:hAnsi="Georgia"/>
          <w:sz w:val="24"/>
          <w:szCs w:val="24"/>
        </w:rPr>
      </w:pPr>
    </w:p>
    <w:p w14:paraId="452BC9F0" w14:textId="77777777" w:rsidR="009F0206" w:rsidRDefault="009F0206" w:rsidP="009F0206">
      <w:pPr>
        <w:rPr>
          <w:rFonts w:ascii="Georgia" w:hAnsi="Georgia"/>
          <w:sz w:val="24"/>
          <w:szCs w:val="24"/>
        </w:rPr>
      </w:pPr>
      <w:r>
        <w:rPr>
          <w:rFonts w:ascii="Georgia" w:hAnsi="Georgia"/>
          <w:sz w:val="24"/>
          <w:szCs w:val="24"/>
        </w:rPr>
        <w:t xml:space="preserve">This distribution is for </w:t>
      </w:r>
      <w:r>
        <w:rPr>
          <w:rFonts w:ascii="Georgia" w:hAnsi="Georgia"/>
          <w:b/>
          <w:bCs/>
          <w:sz w:val="24"/>
          <w:szCs w:val="24"/>
        </w:rPr>
        <w:t>first dose vaccinations only</w:t>
      </w:r>
      <w:r>
        <w:rPr>
          <w:rFonts w:ascii="Georgia" w:hAnsi="Georgia"/>
          <w:sz w:val="24"/>
          <w:szCs w:val="24"/>
        </w:rPr>
        <w:t>. Anyone needing a second dose of Moderna COVID-19 vaccine, will be receiving a call from the Florida Department of Health in Okeechobee County to schedule an appointment for their second dose, if they received their first dose from the Florida Department of Health in Okeechobee County.</w:t>
      </w:r>
    </w:p>
    <w:p w14:paraId="3BEECFE2" w14:textId="77777777" w:rsidR="009F0206" w:rsidRDefault="009F0206" w:rsidP="009F0206">
      <w:pPr>
        <w:rPr>
          <w:rFonts w:ascii="Georgia" w:hAnsi="Georgia"/>
          <w:sz w:val="24"/>
          <w:szCs w:val="24"/>
        </w:rPr>
      </w:pPr>
    </w:p>
    <w:p w14:paraId="53A9E6D2" w14:textId="77777777" w:rsidR="009F0206" w:rsidRDefault="009F0206" w:rsidP="009F0206">
      <w:pPr>
        <w:rPr>
          <w:rFonts w:ascii="Georgia" w:hAnsi="Georgia"/>
          <w:sz w:val="24"/>
          <w:szCs w:val="24"/>
        </w:rPr>
      </w:pPr>
      <w:r>
        <w:rPr>
          <w:rFonts w:ascii="Georgia" w:hAnsi="Georgia"/>
          <w:sz w:val="24"/>
          <w:szCs w:val="24"/>
        </w:rPr>
        <w:t xml:space="preserve">Any questions regarding proof of Florida residency should be directed to Florida’s COVID-19 Call Center available 24/7 at +1 (866) 779-6121 or email </w:t>
      </w:r>
      <w:hyperlink r:id="rId7" w:history="1">
        <w:r>
          <w:rPr>
            <w:rStyle w:val="Hyperlink"/>
            <w:rFonts w:ascii="Georgia" w:hAnsi="Georgia"/>
            <w:sz w:val="24"/>
            <w:szCs w:val="24"/>
          </w:rPr>
          <w:t>COVID-19@flhealth.gov</w:t>
        </w:r>
      </w:hyperlink>
      <w:r>
        <w:rPr>
          <w:rFonts w:ascii="Georgia" w:hAnsi="Georgia"/>
          <w:sz w:val="24"/>
          <w:szCs w:val="24"/>
        </w:rPr>
        <w:t>.</w:t>
      </w:r>
    </w:p>
    <w:p w14:paraId="3808D856" w14:textId="77777777" w:rsidR="009F0206" w:rsidRDefault="009F0206" w:rsidP="009F0206"/>
    <w:p w14:paraId="4660311C" w14:textId="77777777" w:rsidR="009F0206" w:rsidRDefault="009F0206" w:rsidP="009F0206"/>
    <w:p w14:paraId="7348DF27" w14:textId="77777777" w:rsidR="009F0206" w:rsidRDefault="009F0206" w:rsidP="009F0206">
      <w:pPr>
        <w:rPr>
          <w:rFonts w:ascii="Georgia" w:eastAsiaTheme="minorEastAsia" w:hAnsi="Georgia" w:cs="Arial"/>
          <w:noProof/>
          <w:sz w:val="24"/>
          <w:szCs w:val="24"/>
        </w:rPr>
      </w:pPr>
      <w:bookmarkStart w:id="1" w:name="_MailAutoSig"/>
      <w:r>
        <w:rPr>
          <w:rFonts w:ascii="Georgia" w:eastAsiaTheme="minorEastAsia" w:hAnsi="Georgia" w:cs="Arial"/>
          <w:noProof/>
          <w:sz w:val="24"/>
          <w:szCs w:val="24"/>
        </w:rPr>
        <w:t>Amy Cormier</w:t>
      </w:r>
    </w:p>
    <w:p w14:paraId="4DA5CF28" w14:textId="77777777" w:rsidR="009F0206" w:rsidRDefault="009F0206" w:rsidP="009F0206">
      <w:pPr>
        <w:rPr>
          <w:rFonts w:ascii="Georgia" w:eastAsiaTheme="minorEastAsia" w:hAnsi="Georgia" w:cs="Arial"/>
          <w:noProof/>
          <w:sz w:val="24"/>
          <w:szCs w:val="24"/>
        </w:rPr>
      </w:pPr>
      <w:r>
        <w:rPr>
          <w:rFonts w:ascii="Georgia" w:eastAsiaTheme="minorEastAsia" w:hAnsi="Georgia" w:cs="Arial"/>
          <w:noProof/>
          <w:sz w:val="24"/>
          <w:szCs w:val="24"/>
        </w:rPr>
        <w:t>Health Educator Consultant</w:t>
      </w:r>
    </w:p>
    <w:p w14:paraId="6D091243" w14:textId="77777777" w:rsidR="009F0206" w:rsidRDefault="009F0206" w:rsidP="009F0206">
      <w:pPr>
        <w:rPr>
          <w:rFonts w:ascii="Georgia" w:eastAsiaTheme="minorEastAsia" w:hAnsi="Georgia" w:cs="Arial"/>
          <w:noProof/>
          <w:sz w:val="24"/>
          <w:szCs w:val="24"/>
        </w:rPr>
      </w:pPr>
      <w:r>
        <w:rPr>
          <w:rFonts w:ascii="Georgia" w:eastAsiaTheme="minorEastAsia" w:hAnsi="Georgia" w:cs="Arial"/>
          <w:noProof/>
          <w:sz w:val="24"/>
          <w:szCs w:val="24"/>
        </w:rPr>
        <w:t>Public Information Officer</w:t>
      </w:r>
    </w:p>
    <w:p w14:paraId="100E814A" w14:textId="77777777" w:rsidR="009F0206" w:rsidRDefault="009F0206" w:rsidP="009F0206">
      <w:pPr>
        <w:rPr>
          <w:rFonts w:ascii="Georgia" w:eastAsiaTheme="minorEastAsia" w:hAnsi="Georgia" w:cs="Arial"/>
          <w:noProof/>
          <w:sz w:val="24"/>
          <w:szCs w:val="24"/>
        </w:rPr>
      </w:pPr>
      <w:r>
        <w:rPr>
          <w:rFonts w:ascii="Georgia" w:eastAsiaTheme="minorEastAsia" w:hAnsi="Georgia" w:cs="Arial"/>
          <w:noProof/>
          <w:sz w:val="24"/>
          <w:szCs w:val="24"/>
        </w:rPr>
        <w:t>PMQI Champion</w:t>
      </w:r>
    </w:p>
    <w:p w14:paraId="1782AB8F" w14:textId="77777777" w:rsidR="009F0206" w:rsidRDefault="009F0206" w:rsidP="009F0206">
      <w:pPr>
        <w:rPr>
          <w:rFonts w:ascii="Georgia" w:eastAsiaTheme="minorEastAsia" w:hAnsi="Georgia" w:cs="Arial"/>
          <w:noProof/>
          <w:sz w:val="24"/>
          <w:szCs w:val="24"/>
        </w:rPr>
      </w:pPr>
      <w:r>
        <w:rPr>
          <w:rFonts w:ascii="Georgia" w:eastAsiaTheme="minorEastAsia" w:hAnsi="Georgia" w:cs="Arial"/>
          <w:noProof/>
          <w:sz w:val="24"/>
          <w:szCs w:val="24"/>
        </w:rPr>
        <w:t>Florida Department of Health in Okeechobee County</w:t>
      </w:r>
    </w:p>
    <w:p w14:paraId="0AFC3EDB" w14:textId="77777777" w:rsidR="009F0206" w:rsidRDefault="009F0206" w:rsidP="009F0206">
      <w:pPr>
        <w:rPr>
          <w:rFonts w:ascii="Georgia" w:eastAsiaTheme="minorEastAsia" w:hAnsi="Georgia" w:cs="Arial"/>
          <w:noProof/>
          <w:color w:val="1F497D"/>
          <w:sz w:val="24"/>
          <w:szCs w:val="24"/>
        </w:rPr>
      </w:pPr>
      <w:r>
        <w:rPr>
          <w:rFonts w:ascii="Georgia" w:eastAsiaTheme="minorEastAsia" w:hAnsi="Georgia" w:cs="Arial"/>
          <w:noProof/>
          <w:color w:val="F79646"/>
          <w:sz w:val="24"/>
          <w:szCs w:val="24"/>
        </w:rPr>
        <w:t>_____________________________________</w:t>
      </w:r>
    </w:p>
    <w:p w14:paraId="0A0409FD" w14:textId="77777777" w:rsidR="009F0206" w:rsidRDefault="009F0206" w:rsidP="009F0206">
      <w:pPr>
        <w:rPr>
          <w:rFonts w:ascii="Georgia" w:eastAsiaTheme="minorEastAsia" w:hAnsi="Georgia" w:cs="Arial"/>
          <w:noProof/>
          <w:sz w:val="24"/>
          <w:szCs w:val="24"/>
        </w:rPr>
      </w:pPr>
      <w:r>
        <w:rPr>
          <w:rFonts w:ascii="Georgia" w:eastAsiaTheme="minorEastAsia" w:hAnsi="Georgia" w:cs="Arial"/>
          <w:noProof/>
          <w:sz w:val="24"/>
          <w:szCs w:val="24"/>
        </w:rPr>
        <w:t>1728 NW 9th Avenue</w:t>
      </w:r>
    </w:p>
    <w:p w14:paraId="57FFEBC0" w14:textId="77777777" w:rsidR="009F0206" w:rsidRDefault="009F0206" w:rsidP="009F0206">
      <w:pPr>
        <w:rPr>
          <w:rFonts w:ascii="Georgia" w:eastAsiaTheme="minorEastAsia" w:hAnsi="Georgia" w:cs="Arial"/>
          <w:noProof/>
          <w:sz w:val="24"/>
          <w:szCs w:val="24"/>
        </w:rPr>
      </w:pPr>
      <w:r>
        <w:rPr>
          <w:rFonts w:ascii="Georgia" w:eastAsiaTheme="minorEastAsia" w:hAnsi="Georgia" w:cs="Arial"/>
          <w:noProof/>
          <w:sz w:val="24"/>
          <w:szCs w:val="24"/>
        </w:rPr>
        <w:t>Okeechobee, FL  34972-4340</w:t>
      </w:r>
    </w:p>
    <w:p w14:paraId="10041179" w14:textId="77777777" w:rsidR="009F0206" w:rsidRDefault="009F0206" w:rsidP="009F0206">
      <w:pPr>
        <w:rPr>
          <w:rFonts w:ascii="Georgia" w:eastAsiaTheme="minorEastAsia" w:hAnsi="Georgia" w:cs="Arial"/>
          <w:noProof/>
          <w:sz w:val="24"/>
          <w:szCs w:val="24"/>
        </w:rPr>
      </w:pPr>
      <w:r>
        <w:rPr>
          <w:rFonts w:ascii="Georgia" w:eastAsiaTheme="minorEastAsia" w:hAnsi="Georgia" w:cs="Arial"/>
          <w:noProof/>
          <w:sz w:val="24"/>
          <w:szCs w:val="24"/>
        </w:rPr>
        <w:t>Phone: (863) 462-5865</w:t>
      </w:r>
    </w:p>
    <w:p w14:paraId="071F17F1" w14:textId="77777777" w:rsidR="009F0206" w:rsidRDefault="009F0206" w:rsidP="009F0206">
      <w:pPr>
        <w:rPr>
          <w:rFonts w:ascii="Georgia" w:eastAsiaTheme="minorEastAsia" w:hAnsi="Georgia" w:cs="Arial"/>
          <w:noProof/>
          <w:sz w:val="24"/>
          <w:szCs w:val="24"/>
        </w:rPr>
      </w:pPr>
      <w:r>
        <w:rPr>
          <w:rFonts w:ascii="Georgia" w:eastAsiaTheme="minorEastAsia" w:hAnsi="Georgia" w:cs="Arial"/>
          <w:noProof/>
          <w:sz w:val="24"/>
          <w:szCs w:val="24"/>
        </w:rPr>
        <w:t>Fax:     (863) 462-5780</w:t>
      </w:r>
    </w:p>
    <w:p w14:paraId="4EE628E1" w14:textId="77777777" w:rsidR="009F0206" w:rsidRDefault="009F0206" w:rsidP="009F0206">
      <w:pPr>
        <w:rPr>
          <w:rFonts w:ascii="Georgia" w:eastAsiaTheme="minorEastAsia" w:hAnsi="Georgia" w:cs="Arial"/>
          <w:noProof/>
          <w:sz w:val="24"/>
          <w:szCs w:val="24"/>
        </w:rPr>
      </w:pPr>
    </w:p>
    <w:p w14:paraId="6EBB1FA5" w14:textId="77777777" w:rsidR="009F0206" w:rsidRDefault="009F0206" w:rsidP="009F0206">
      <w:pPr>
        <w:rPr>
          <w:rFonts w:eastAsiaTheme="minorEastAsia"/>
          <w:b/>
          <w:bCs/>
          <w:noProof/>
        </w:rPr>
      </w:pPr>
      <w:r>
        <w:rPr>
          <w:rFonts w:eastAsiaTheme="minorEastAsia"/>
          <w:b/>
          <w:bCs/>
          <w:noProof/>
        </w:rPr>
        <w:t>Website for Florida Department of Health’s response to Coronavirus – including helpful guidance and contact information:</w:t>
      </w:r>
    </w:p>
    <w:p w14:paraId="1BB9E9F7" w14:textId="77777777" w:rsidR="009F0206" w:rsidRDefault="009F0206" w:rsidP="009F0206">
      <w:pPr>
        <w:rPr>
          <w:rFonts w:eastAsiaTheme="minorEastAsia"/>
          <w:noProof/>
          <w:sz w:val="24"/>
          <w:szCs w:val="24"/>
        </w:rPr>
      </w:pPr>
      <w:hyperlink r:id="rId8" w:history="1">
        <w:r>
          <w:rPr>
            <w:rStyle w:val="Hyperlink"/>
            <w:rFonts w:eastAsiaTheme="minorEastAsia"/>
            <w:noProof/>
            <w:color w:val="0000FF"/>
            <w:sz w:val="24"/>
            <w:szCs w:val="24"/>
          </w:rPr>
          <w:t>http://www.floridahealth.gov/diseases-and-conditions/COVID-19/chd/index.html</w:t>
        </w:r>
      </w:hyperlink>
    </w:p>
    <w:p w14:paraId="4651674C" w14:textId="77777777" w:rsidR="009F0206" w:rsidRDefault="009F0206" w:rsidP="009F0206">
      <w:pPr>
        <w:rPr>
          <w:rFonts w:ascii="Georgia" w:eastAsiaTheme="minorEastAsia" w:hAnsi="Georgia" w:cs="Arial"/>
          <w:noProof/>
          <w:sz w:val="24"/>
          <w:szCs w:val="24"/>
        </w:rPr>
      </w:pPr>
    </w:p>
    <w:p w14:paraId="3BF49BC9" w14:textId="77777777" w:rsidR="009F0206" w:rsidRDefault="009F0206" w:rsidP="009F0206">
      <w:pPr>
        <w:rPr>
          <w:rFonts w:ascii="Arial" w:eastAsiaTheme="minorEastAsia" w:hAnsi="Arial" w:cs="Arial"/>
          <w:b/>
          <w:bCs/>
          <w:noProof/>
          <w:sz w:val="24"/>
          <w:szCs w:val="24"/>
        </w:rPr>
      </w:pPr>
      <w:r>
        <w:rPr>
          <w:rFonts w:eastAsiaTheme="minorEastAsia"/>
          <w:b/>
          <w:bCs/>
          <w:noProof/>
        </w:rPr>
        <w:t>Florida Department of Health’s 24-hour COVID-19 hotline  1 (866) 779-6121</w:t>
      </w:r>
    </w:p>
    <w:p w14:paraId="32094B4E" w14:textId="77777777" w:rsidR="009F0206" w:rsidRDefault="009F0206" w:rsidP="009F0206">
      <w:pPr>
        <w:rPr>
          <w:rFonts w:eastAsiaTheme="minorEastAsia"/>
          <w:noProof/>
        </w:rPr>
      </w:pPr>
      <w:r>
        <w:rPr>
          <w:rFonts w:eastAsiaTheme="minorEastAsia"/>
          <w:noProof/>
        </w:rPr>
        <w:drawing>
          <wp:inline distT="0" distB="0" distL="0" distR="0" wp14:anchorId="62118307" wp14:editId="54DC7C08">
            <wp:extent cx="1123950" cy="1365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365250"/>
                    </a:xfrm>
                    <a:prstGeom prst="rect">
                      <a:avLst/>
                    </a:prstGeom>
                    <a:noFill/>
                    <a:ln>
                      <a:noFill/>
                    </a:ln>
                  </pic:spPr>
                </pic:pic>
              </a:graphicData>
            </a:graphic>
          </wp:inline>
        </w:drawing>
      </w:r>
      <w:r>
        <w:rPr>
          <w:rFonts w:eastAsiaTheme="minorEastAsia"/>
          <w:noProof/>
        </w:rPr>
        <w:drawing>
          <wp:inline distT="0" distB="0" distL="0" distR="0" wp14:anchorId="298F2C9A" wp14:editId="74AEE6C9">
            <wp:extent cx="299085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514350"/>
                    </a:xfrm>
                    <a:prstGeom prst="rect">
                      <a:avLst/>
                    </a:prstGeom>
                    <a:noFill/>
                    <a:ln>
                      <a:noFill/>
                    </a:ln>
                  </pic:spPr>
                </pic:pic>
              </a:graphicData>
            </a:graphic>
          </wp:inline>
        </w:drawing>
      </w:r>
    </w:p>
    <w:p w14:paraId="299ACEA5" w14:textId="77777777" w:rsidR="009F0206" w:rsidRDefault="009F0206" w:rsidP="009F0206">
      <w:pPr>
        <w:rPr>
          <w:rFonts w:ascii="Arial" w:eastAsiaTheme="minorEastAsia" w:hAnsi="Arial" w:cs="Arial"/>
          <w:noProof/>
          <w:sz w:val="24"/>
          <w:szCs w:val="24"/>
        </w:rPr>
      </w:pPr>
      <w:r>
        <w:rPr>
          <w:rFonts w:eastAsiaTheme="minorEastAsia"/>
          <w:noProof/>
        </w:rPr>
        <w:lastRenderedPageBreak/>
        <w:drawing>
          <wp:inline distT="0" distB="0" distL="0" distR="0" wp14:anchorId="74D89ADD" wp14:editId="34B9F537">
            <wp:extent cx="1676400" cy="908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908050"/>
                    </a:xfrm>
                    <a:prstGeom prst="rect">
                      <a:avLst/>
                    </a:prstGeom>
                    <a:noFill/>
                    <a:ln>
                      <a:noFill/>
                    </a:ln>
                  </pic:spPr>
                </pic:pic>
              </a:graphicData>
            </a:graphic>
          </wp:inline>
        </w:drawing>
      </w:r>
    </w:p>
    <w:p w14:paraId="32F66B94" w14:textId="77777777" w:rsidR="009F0206" w:rsidRDefault="009F0206" w:rsidP="009F0206">
      <w:pPr>
        <w:rPr>
          <w:rFonts w:ascii="Arial" w:eastAsiaTheme="minorEastAsia" w:hAnsi="Arial" w:cs="Arial"/>
          <w:noProof/>
          <w:sz w:val="24"/>
          <w:szCs w:val="24"/>
        </w:rPr>
      </w:pPr>
      <w:r>
        <w:rPr>
          <w:rFonts w:ascii="Arial" w:eastAsiaTheme="minorEastAsia" w:hAnsi="Arial" w:cs="Arial"/>
          <w:b/>
          <w:bCs/>
          <w:noProof/>
          <w:sz w:val="24"/>
          <w:szCs w:val="24"/>
        </w:rPr>
        <w:t xml:space="preserve">Mission:  </w:t>
      </w:r>
      <w:r>
        <w:rPr>
          <w:rFonts w:ascii="Arial" w:eastAsiaTheme="minorEastAsia" w:hAnsi="Arial" w:cs="Arial"/>
          <w:noProof/>
          <w:sz w:val="24"/>
          <w:szCs w:val="24"/>
        </w:rPr>
        <w:t>To protect, promote &amp; improve the health of all people in Florida through integrated state, county &amp; community efforts.</w:t>
      </w:r>
    </w:p>
    <w:p w14:paraId="3289EC3A" w14:textId="77777777" w:rsidR="009F0206" w:rsidRDefault="009F0206" w:rsidP="009F0206">
      <w:pPr>
        <w:rPr>
          <w:rFonts w:ascii="Arial" w:eastAsiaTheme="minorEastAsia" w:hAnsi="Arial" w:cs="Arial"/>
          <w:noProof/>
          <w:sz w:val="24"/>
          <w:szCs w:val="24"/>
        </w:rPr>
      </w:pPr>
      <w:r>
        <w:rPr>
          <w:rFonts w:ascii="Arial" w:eastAsiaTheme="minorEastAsia" w:hAnsi="Arial" w:cs="Arial"/>
          <w:noProof/>
          <w:sz w:val="24"/>
          <w:szCs w:val="24"/>
        </w:rPr>
        <w:br/>
      </w:r>
      <w:r>
        <w:rPr>
          <w:rFonts w:ascii="Arial" w:eastAsiaTheme="minorEastAsia" w:hAnsi="Arial" w:cs="Arial"/>
          <w:b/>
          <w:bCs/>
          <w:noProof/>
          <w:sz w:val="24"/>
          <w:szCs w:val="24"/>
        </w:rPr>
        <w:t xml:space="preserve">Vision:  </w:t>
      </w:r>
      <w:r>
        <w:rPr>
          <w:rFonts w:ascii="Arial" w:eastAsiaTheme="minorEastAsia" w:hAnsi="Arial" w:cs="Arial"/>
          <w:noProof/>
          <w:sz w:val="24"/>
          <w:szCs w:val="24"/>
        </w:rPr>
        <w:t xml:space="preserve">To be the </w:t>
      </w:r>
      <w:r>
        <w:rPr>
          <w:rFonts w:ascii="Arial" w:eastAsiaTheme="minorEastAsia" w:hAnsi="Arial" w:cs="Arial"/>
          <w:b/>
          <w:bCs/>
          <w:noProof/>
          <w:sz w:val="24"/>
          <w:szCs w:val="24"/>
        </w:rPr>
        <w:t xml:space="preserve">Healthiest State </w:t>
      </w:r>
      <w:r>
        <w:rPr>
          <w:rFonts w:ascii="Arial" w:eastAsiaTheme="minorEastAsia" w:hAnsi="Arial" w:cs="Arial"/>
          <w:noProof/>
          <w:sz w:val="24"/>
          <w:szCs w:val="24"/>
        </w:rPr>
        <w:t>in the Nation</w:t>
      </w:r>
    </w:p>
    <w:p w14:paraId="70383047" w14:textId="77777777" w:rsidR="009F0206" w:rsidRDefault="009F0206" w:rsidP="009F0206">
      <w:pPr>
        <w:rPr>
          <w:rFonts w:ascii="Arial" w:eastAsiaTheme="minorEastAsia" w:hAnsi="Arial" w:cs="Arial"/>
          <w:noProof/>
          <w:sz w:val="24"/>
          <w:szCs w:val="24"/>
        </w:rPr>
      </w:pPr>
    </w:p>
    <w:p w14:paraId="36A11160" w14:textId="77777777" w:rsidR="009F0206" w:rsidRDefault="009F0206" w:rsidP="009F0206">
      <w:pPr>
        <w:rPr>
          <w:rFonts w:ascii="Arial" w:eastAsiaTheme="minorEastAsia" w:hAnsi="Arial" w:cs="Arial"/>
          <w:noProof/>
          <w:sz w:val="24"/>
          <w:szCs w:val="24"/>
        </w:rPr>
      </w:pPr>
      <w:r>
        <w:rPr>
          <w:rFonts w:ascii="Arial" w:eastAsiaTheme="minorEastAsia" w:hAnsi="Arial" w:cs="Arial"/>
          <w:noProof/>
          <w:sz w:val="24"/>
          <w:szCs w:val="24"/>
        </w:rPr>
        <w:t>Innovation/ Collaboration/ Accountability/ Responsiveness/ Excellence</w:t>
      </w:r>
    </w:p>
    <w:p w14:paraId="5C2453D5" w14:textId="77777777" w:rsidR="009F0206" w:rsidRDefault="009F0206" w:rsidP="009F0206">
      <w:pPr>
        <w:rPr>
          <w:rFonts w:ascii="Arial" w:eastAsiaTheme="minorEastAsia" w:hAnsi="Arial" w:cs="Arial"/>
          <w:noProof/>
          <w:sz w:val="24"/>
          <w:szCs w:val="24"/>
        </w:rPr>
      </w:pPr>
    </w:p>
    <w:p w14:paraId="78B108EA" w14:textId="77777777" w:rsidR="009F0206" w:rsidRDefault="009F0206" w:rsidP="009F0206">
      <w:pPr>
        <w:rPr>
          <w:rFonts w:ascii="Arial" w:eastAsiaTheme="minorEastAsia" w:hAnsi="Arial" w:cs="Arial"/>
          <w:noProof/>
          <w:sz w:val="24"/>
          <w:szCs w:val="24"/>
        </w:rPr>
      </w:pPr>
      <w:r>
        <w:rPr>
          <w:rFonts w:ascii="Arial" w:eastAsiaTheme="minorEastAsia" w:hAnsi="Arial" w:cs="Arial"/>
          <w:noProof/>
          <w:sz w:val="24"/>
          <w:szCs w:val="24"/>
        </w:rPr>
        <w:t>Public Health is Everyone’s Responsibility</w:t>
      </w:r>
    </w:p>
    <w:p w14:paraId="3AAFE07C" w14:textId="77777777" w:rsidR="009F0206" w:rsidRDefault="009F0206" w:rsidP="009F0206">
      <w:pPr>
        <w:rPr>
          <w:rFonts w:ascii="Arial" w:eastAsiaTheme="minorEastAsia" w:hAnsi="Arial" w:cs="Arial"/>
          <w:noProof/>
          <w:sz w:val="24"/>
          <w:szCs w:val="24"/>
        </w:rPr>
      </w:pPr>
    </w:p>
    <w:p w14:paraId="0843C90C" w14:textId="77777777" w:rsidR="009F0206" w:rsidRDefault="009F0206" w:rsidP="009F0206">
      <w:pPr>
        <w:rPr>
          <w:rFonts w:eastAsiaTheme="minorEastAsia"/>
          <w:b/>
          <w:bCs/>
          <w:noProof/>
          <w:color w:val="0070C0"/>
          <w:sz w:val="24"/>
          <w:szCs w:val="24"/>
        </w:rPr>
      </w:pPr>
      <w:r>
        <w:rPr>
          <w:rFonts w:eastAsiaTheme="minorEastAsia"/>
          <w:noProof/>
          <w:color w:val="000080"/>
          <w:sz w:val="24"/>
          <w:szCs w:val="24"/>
        </w:rPr>
        <w:t xml:space="preserve">For more information about our programs and services go to </w:t>
      </w:r>
      <w:hyperlink r:id="rId12" w:history="1">
        <w:r>
          <w:rPr>
            <w:rStyle w:val="Hyperlink"/>
            <w:rFonts w:eastAsiaTheme="minorEastAsia"/>
            <w:b/>
            <w:bCs/>
            <w:noProof/>
            <w:color w:val="0563C1"/>
            <w:sz w:val="24"/>
            <w:szCs w:val="24"/>
          </w:rPr>
          <w:t>http://okeechobee.floridahealth.gov/</w:t>
        </w:r>
      </w:hyperlink>
    </w:p>
    <w:p w14:paraId="2B84763A" w14:textId="77777777" w:rsidR="009F0206" w:rsidRDefault="009F0206" w:rsidP="009F0206">
      <w:pPr>
        <w:rPr>
          <w:rFonts w:ascii="Arial" w:eastAsiaTheme="minorEastAsia" w:hAnsi="Arial" w:cs="Arial"/>
          <w:noProof/>
        </w:rPr>
      </w:pPr>
      <w:r>
        <w:rPr>
          <w:rFonts w:ascii="Arial" w:eastAsiaTheme="minorEastAsia" w:hAnsi="Arial" w:cs="Arial"/>
          <w:b/>
          <w:bCs/>
          <w:i/>
          <w:iCs/>
          <w:noProof/>
          <w:color w:val="000000"/>
        </w:rPr>
        <w:t xml:space="preserve">Need Data?  Check out... </w:t>
      </w:r>
      <w:hyperlink r:id="rId13" w:history="1">
        <w:r>
          <w:rPr>
            <w:rStyle w:val="Hyperlink"/>
            <w:rFonts w:ascii="Arial" w:eastAsiaTheme="minorEastAsia" w:hAnsi="Arial" w:cs="Arial"/>
            <w:b/>
            <w:bCs/>
            <w:i/>
            <w:iCs/>
            <w:noProof/>
            <w:color w:val="000000"/>
          </w:rPr>
          <w:t>www.FLHealthCHARTS.com</w:t>
        </w:r>
      </w:hyperlink>
    </w:p>
    <w:p w14:paraId="13B850A3" w14:textId="77777777" w:rsidR="009F0206" w:rsidRDefault="009F0206" w:rsidP="009F0206">
      <w:pPr>
        <w:rPr>
          <w:rFonts w:eastAsiaTheme="minorEastAsia"/>
          <w:noProof/>
          <w:sz w:val="24"/>
          <w:szCs w:val="24"/>
        </w:rPr>
      </w:pPr>
    </w:p>
    <w:p w14:paraId="20FA2E38" w14:textId="77777777" w:rsidR="009F0206" w:rsidRDefault="009F0206" w:rsidP="009F0206">
      <w:pPr>
        <w:rPr>
          <w:rFonts w:ascii="Arial" w:eastAsiaTheme="minorEastAsia" w:hAnsi="Arial" w:cs="Arial"/>
          <w:noProof/>
        </w:rPr>
      </w:pPr>
    </w:p>
    <w:p w14:paraId="38CBEC3E" w14:textId="77777777" w:rsidR="009F0206" w:rsidRDefault="009F0206" w:rsidP="009F0206">
      <w:pPr>
        <w:spacing w:after="240"/>
        <w:rPr>
          <w:rFonts w:ascii="Arial" w:eastAsiaTheme="minorEastAsia" w:hAnsi="Arial" w:cs="Arial"/>
          <w:i/>
          <w:iCs/>
          <w:noProof/>
        </w:rPr>
      </w:pPr>
      <w:r>
        <w:rPr>
          <w:rFonts w:ascii="Arial" w:eastAsiaTheme="minorEastAsia" w:hAnsi="Arial" w:cs="Arial"/>
          <w:b/>
          <w:bCs/>
          <w:noProof/>
        </w:rPr>
        <w:t xml:space="preserve">Note: </w:t>
      </w:r>
      <w:r>
        <w:rPr>
          <w:rFonts w:ascii="Arial" w:eastAsiaTheme="minorEastAsia" w:hAnsi="Arial" w:cs="Arial"/>
          <w:i/>
          <w:iCs/>
          <w:noProof/>
        </w:rPr>
        <w:t>Florida has a very broad public records law.  Most written communications to or from state officials regarding state business are public records available to the public and media upon request.  Your email communication may therefore be subject to public disclosure.</w:t>
      </w:r>
    </w:p>
    <w:bookmarkEnd w:id="1"/>
    <w:p w14:paraId="0232CE75" w14:textId="77777777" w:rsidR="009F0206" w:rsidRDefault="009F0206" w:rsidP="009F0206"/>
    <w:p w14:paraId="7227205D" w14:textId="77777777" w:rsidR="00BB2549" w:rsidRDefault="004F3E28"/>
    <w:sectPr w:rsidR="00BB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715"/>
    <w:multiLevelType w:val="multilevel"/>
    <w:tmpl w:val="BC0A3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D6CAA"/>
    <w:multiLevelType w:val="multilevel"/>
    <w:tmpl w:val="296C8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06"/>
    <w:rsid w:val="004D1DF2"/>
    <w:rsid w:val="009F0206"/>
    <w:rsid w:val="00AC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FDF5"/>
  <w15:chartTrackingRefBased/>
  <w15:docId w15:val="{DAED8DDC-BC74-4D65-A9E3-8B769B7B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2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206"/>
    <w:rPr>
      <w:color w:val="0563C1" w:themeColor="hyperlink"/>
      <w:u w:val="single"/>
    </w:rPr>
  </w:style>
  <w:style w:type="paragraph" w:styleId="PlainText">
    <w:name w:val="Plain Text"/>
    <w:basedOn w:val="Normal"/>
    <w:link w:val="PlainTextChar"/>
    <w:uiPriority w:val="99"/>
    <w:semiHidden/>
    <w:unhideWhenUsed/>
    <w:rsid w:val="009F0206"/>
    <w:rPr>
      <w:rFonts w:ascii="Calibri" w:hAnsi="Calibri" w:cs="Calibri"/>
    </w:rPr>
  </w:style>
  <w:style w:type="character" w:customStyle="1" w:styleId="PlainTextChar">
    <w:name w:val="Plain Text Char"/>
    <w:basedOn w:val="DefaultParagraphFont"/>
    <w:link w:val="PlainText"/>
    <w:uiPriority w:val="99"/>
    <w:semiHidden/>
    <w:rsid w:val="009F020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1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ridahealth.gov/diseases-and-conditions/COVID-19/chd/index.html" TargetMode="External"/><Relationship Id="rId13" Type="http://schemas.openxmlformats.org/officeDocument/2006/relationships/hyperlink" Target="http://www.flhealthcharts.com/" TargetMode="External"/><Relationship Id="rId3" Type="http://schemas.openxmlformats.org/officeDocument/2006/relationships/settings" Target="settings.xml"/><Relationship Id="rId7" Type="http://schemas.openxmlformats.org/officeDocument/2006/relationships/hyperlink" Target="mailto:COVID-19@flhealth.gov" TargetMode="External"/><Relationship Id="rId12" Type="http://schemas.openxmlformats.org/officeDocument/2006/relationships/hyperlink" Target="http://okeechobee.floridahealt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keechobee.floridahealth.gov/" TargetMode="External"/><Relationship Id="rId11" Type="http://schemas.openxmlformats.org/officeDocument/2006/relationships/image" Target="media/image3.png"/><Relationship Id="rId5" Type="http://schemas.openxmlformats.org/officeDocument/2006/relationships/hyperlink" Target="https://floridahealthcovid19.gov/wp-content/uploads/2021/01/Prioritization-of-Floridans-for-Covid-19-Vaccinations.pdf"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Cormier, Amy L</dc:creator>
  <cp:keywords/>
  <dc:description/>
  <cp:lastModifiedBy>Cormier, Amy L</cp:lastModifiedBy>
  <cp:revision>2</cp:revision>
  <dcterms:created xsi:type="dcterms:W3CDTF">2021-02-02T13:41:00Z</dcterms:created>
  <dcterms:modified xsi:type="dcterms:W3CDTF">2021-02-02T13:41:00Z</dcterms:modified>
</cp:coreProperties>
</file>